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E7B" w:rsidRDefault="00854EF4">
      <w:pPr>
        <w:keepNext/>
        <w:pBdr>
          <w:top w:val="nil"/>
          <w:left w:val="nil"/>
          <w:bottom w:val="nil"/>
          <w:right w:val="nil"/>
          <w:between w:val="nil"/>
        </w:pBdr>
        <w:tabs>
          <w:tab w:val="left" w:pos="5715"/>
        </w:tabs>
        <w:spacing w:before="120" w:after="120" w:line="240" w:lineRule="auto"/>
        <w:rPr>
          <w:rFonts w:ascii="Arial Bold" w:eastAsia="Arial Bold" w:hAnsi="Arial Bold" w:cs="Arial Bold"/>
          <w:b/>
          <w:color w:val="000000"/>
          <w:sz w:val="36"/>
          <w:szCs w:val="36"/>
        </w:rPr>
      </w:pPr>
      <w:bookmarkStart w:id="0" w:name="_heading=h.1fob9te" w:colFirst="0" w:colLast="0"/>
      <w:bookmarkStart w:id="1" w:name="_GoBack"/>
      <w:bookmarkEnd w:id="0"/>
      <w:bookmarkEnd w:id="1"/>
      <w:r>
        <w:rPr>
          <w:rFonts w:ascii="Arial Bold" w:eastAsia="Arial Bold" w:hAnsi="Arial Bold" w:cs="Arial Bold"/>
          <w:b/>
          <w:color w:val="000000"/>
          <w:sz w:val="36"/>
          <w:szCs w:val="36"/>
        </w:rPr>
        <w:t>Call-Off Schedule 1 (Transparency Reports)</w:t>
      </w:r>
    </w:p>
    <w:p w:rsidR="00CA1E7B" w:rsidRDefault="00854EF4">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r>
        <w:rPr>
          <w:rFonts w:ascii="Arial" w:eastAsia="Arial" w:hAnsi="Arial" w:cs="Arial"/>
          <w:color w:val="0000FF"/>
          <w:sz w:val="24"/>
          <w:szCs w:val="24"/>
          <w:u w:val="single"/>
        </w:rPr>
        <w:t>https://www.gov.uk/government/publications/procurement-policy-note-0117-update-to-transparency-principles</w:t>
      </w:r>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CA1E7B" w:rsidRDefault="00854EF4">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w:t>
      </w:r>
      <w:r>
        <w:rPr>
          <w:rFonts w:ascii="Arial" w:eastAsia="Arial" w:hAnsi="Arial" w:cs="Arial"/>
          <w:color w:val="000000"/>
          <w:sz w:val="24"/>
          <w:szCs w:val="24"/>
        </w:rPr>
        <w:t>t Transparency Reports consistent with the content requirements and format set out in the Annex of this Schedule.</w:t>
      </w:r>
    </w:p>
    <w:p w:rsidR="00CA1E7B" w:rsidRDefault="00854EF4">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w:t>
      </w:r>
      <w:r>
        <w:rPr>
          <w:rFonts w:ascii="Arial" w:eastAsia="Arial" w:hAnsi="Arial" w:cs="Arial"/>
          <w:color w:val="000000"/>
          <w:sz w:val="24"/>
          <w:szCs w:val="24"/>
        </w:rPr>
        <w:t>nt report for further Approval within five (5) days of receipt of any notice of rejection, taking account of any recommendations for revision and improvement to the report provided by the Buyer. If the Parties fail to agree on a draft Transparency Report t</w:t>
      </w:r>
      <w:r>
        <w:rPr>
          <w:rFonts w:ascii="Arial" w:eastAsia="Arial" w:hAnsi="Arial" w:cs="Arial"/>
          <w:color w:val="000000"/>
          <w:sz w:val="24"/>
          <w:szCs w:val="24"/>
        </w:rPr>
        <w:t>he Buyer shall determine what should be included. Any other disagreement in connection with Transparency Reports shall be treated as a Dispute.</w:t>
      </w:r>
    </w:p>
    <w:p w:rsidR="00CA1E7B" w:rsidRDefault="00854EF4">
      <w:pP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1.4 The Supplier shall provide accurate and up-to-date versions of each Transparency Report to the Buyer at the </w:t>
      </w:r>
      <w:r>
        <w:rPr>
          <w:rFonts w:ascii="Arial" w:eastAsia="Arial" w:hAnsi="Arial" w:cs="Arial"/>
          <w:color w:val="000000"/>
          <w:sz w:val="24"/>
          <w:szCs w:val="24"/>
        </w:rPr>
        <w:t>frequency referred to in the Annex of this Schedule.</w:t>
      </w:r>
    </w:p>
    <w:p w:rsidR="00CA1E7B" w:rsidRDefault="00CA1E7B">
      <w:pPr>
        <w:spacing w:before="120" w:after="120" w:line="240" w:lineRule="auto"/>
        <w:rPr>
          <w:rFonts w:ascii="Arial" w:eastAsia="Arial" w:hAnsi="Arial" w:cs="Arial"/>
          <w:color w:val="000000"/>
          <w:sz w:val="24"/>
          <w:szCs w:val="24"/>
        </w:rPr>
      </w:pPr>
    </w:p>
    <w:p w:rsidR="00CA1E7B" w:rsidRDefault="00854EF4">
      <w:pPr>
        <w:pBdr>
          <w:top w:val="nil"/>
          <w:left w:val="nil"/>
          <w:bottom w:val="nil"/>
          <w:right w:val="nil"/>
          <w:between w:val="nil"/>
        </w:pBdr>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1"/>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5812"/>
        <w:gridCol w:w="1276"/>
        <w:gridCol w:w="1559"/>
      </w:tblGrid>
      <w:tr w:rsidR="00CA1E7B">
        <w:trPr>
          <w:trHeight w:val="123"/>
        </w:trPr>
        <w:tc>
          <w:tcPr>
            <w:tcW w:w="1838" w:type="dxa"/>
            <w:tcBorders>
              <w:top w:val="single" w:sz="4" w:space="0" w:color="000000"/>
              <w:left w:val="single" w:sz="4" w:space="0" w:color="000000"/>
              <w:bottom w:val="single" w:sz="4" w:space="0" w:color="000000"/>
              <w:right w:val="single" w:sz="4" w:space="0" w:color="000000"/>
            </w:tcBorders>
          </w:tcPr>
          <w:p w:rsidR="00CA1E7B" w:rsidRDefault="00854EF4">
            <w:pPr>
              <w:spacing w:before="120" w:after="120"/>
              <w:rPr>
                <w:rFonts w:ascii="Arial" w:eastAsia="Arial" w:hAnsi="Arial" w:cs="Arial"/>
                <w:sz w:val="24"/>
                <w:szCs w:val="24"/>
              </w:rPr>
            </w:pPr>
            <w:r>
              <w:rPr>
                <w:rFonts w:ascii="Arial" w:eastAsia="Arial" w:hAnsi="Arial" w:cs="Arial"/>
                <w:b/>
                <w:sz w:val="24"/>
                <w:szCs w:val="24"/>
              </w:rPr>
              <w:t xml:space="preserve">Title </w:t>
            </w:r>
          </w:p>
        </w:tc>
        <w:tc>
          <w:tcPr>
            <w:tcW w:w="5812" w:type="dxa"/>
            <w:tcBorders>
              <w:top w:val="single" w:sz="4" w:space="0" w:color="000000"/>
              <w:left w:val="single" w:sz="4" w:space="0" w:color="000000"/>
              <w:bottom w:val="single" w:sz="4" w:space="0" w:color="000000"/>
              <w:right w:val="single" w:sz="4" w:space="0" w:color="000000"/>
            </w:tcBorders>
          </w:tcPr>
          <w:p w:rsidR="00CA1E7B" w:rsidRDefault="00854EF4">
            <w:pPr>
              <w:spacing w:before="120" w:after="120"/>
              <w:rPr>
                <w:rFonts w:ascii="Arial" w:eastAsia="Arial" w:hAnsi="Arial" w:cs="Arial"/>
                <w:sz w:val="24"/>
                <w:szCs w:val="24"/>
              </w:rPr>
            </w:pPr>
            <w:r>
              <w:rPr>
                <w:rFonts w:ascii="Arial" w:eastAsia="Arial" w:hAnsi="Arial" w:cs="Arial"/>
                <w:b/>
                <w:sz w:val="24"/>
                <w:szCs w:val="24"/>
              </w:rPr>
              <w:t xml:space="preserve">Content </w:t>
            </w:r>
          </w:p>
        </w:tc>
        <w:tc>
          <w:tcPr>
            <w:tcW w:w="1276" w:type="dxa"/>
            <w:tcBorders>
              <w:top w:val="single" w:sz="4" w:space="0" w:color="000000"/>
              <w:left w:val="single" w:sz="4" w:space="0" w:color="000000"/>
              <w:bottom w:val="single" w:sz="4" w:space="0" w:color="000000"/>
              <w:right w:val="single" w:sz="4" w:space="0" w:color="000000"/>
            </w:tcBorders>
          </w:tcPr>
          <w:p w:rsidR="00CA1E7B" w:rsidRDefault="00854EF4">
            <w:pPr>
              <w:spacing w:before="120" w:after="120"/>
              <w:rPr>
                <w:rFonts w:ascii="Arial" w:eastAsia="Arial" w:hAnsi="Arial" w:cs="Arial"/>
                <w:sz w:val="24"/>
                <w:szCs w:val="24"/>
              </w:rPr>
            </w:pPr>
            <w:r>
              <w:rPr>
                <w:rFonts w:ascii="Arial" w:eastAsia="Arial" w:hAnsi="Arial" w:cs="Arial"/>
                <w:b/>
                <w:sz w:val="24"/>
                <w:szCs w:val="24"/>
              </w:rPr>
              <w:t xml:space="preserve">Format </w:t>
            </w:r>
          </w:p>
        </w:tc>
        <w:tc>
          <w:tcPr>
            <w:tcW w:w="1559" w:type="dxa"/>
            <w:tcBorders>
              <w:top w:val="single" w:sz="4" w:space="0" w:color="000000"/>
              <w:left w:val="single" w:sz="4" w:space="0" w:color="000000"/>
              <w:bottom w:val="single" w:sz="4" w:space="0" w:color="000000"/>
              <w:right w:val="single" w:sz="4" w:space="0" w:color="000000"/>
            </w:tcBorders>
          </w:tcPr>
          <w:p w:rsidR="00CA1E7B" w:rsidRDefault="00854EF4">
            <w:pPr>
              <w:spacing w:before="120" w:after="120"/>
              <w:rPr>
                <w:rFonts w:ascii="Arial" w:eastAsia="Arial" w:hAnsi="Arial" w:cs="Arial"/>
                <w:sz w:val="24"/>
                <w:szCs w:val="24"/>
              </w:rPr>
            </w:pPr>
            <w:r>
              <w:rPr>
                <w:rFonts w:ascii="Arial" w:eastAsia="Arial" w:hAnsi="Arial" w:cs="Arial"/>
                <w:b/>
                <w:sz w:val="24"/>
                <w:szCs w:val="24"/>
              </w:rPr>
              <w:t xml:space="preserve">Frequency </w:t>
            </w:r>
          </w:p>
        </w:tc>
      </w:tr>
      <w:tr w:rsidR="00CA1E7B">
        <w:trPr>
          <w:trHeight w:val="214"/>
        </w:trPr>
        <w:tc>
          <w:tcPr>
            <w:tcW w:w="1838" w:type="dxa"/>
            <w:tcBorders>
              <w:top w:val="single" w:sz="5" w:space="0" w:color="000000"/>
              <w:left w:val="single" w:sz="5" w:space="0" w:color="000000"/>
              <w:bottom w:val="single" w:sz="5" w:space="0" w:color="000000"/>
              <w:right w:val="single" w:sz="5" w:space="0" w:color="000000"/>
            </w:tcBorders>
            <w:tcMar>
              <w:top w:w="0" w:type="dxa"/>
              <w:left w:w="120" w:type="dxa"/>
              <w:bottom w:w="0" w:type="dxa"/>
              <w:right w:w="100" w:type="dxa"/>
            </w:tcMar>
          </w:tcPr>
          <w:p w:rsidR="00CA1E7B" w:rsidRDefault="00854EF4">
            <w:pPr>
              <w:tabs>
                <w:tab w:val="left" w:pos="3380"/>
              </w:tabs>
              <w:spacing w:before="120" w:after="120"/>
              <w:rPr>
                <w:rFonts w:ascii="Arial" w:eastAsia="Arial" w:hAnsi="Arial" w:cs="Arial"/>
                <w:sz w:val="24"/>
                <w:szCs w:val="24"/>
              </w:rPr>
            </w:pPr>
            <w:r>
              <w:rPr>
                <w:rFonts w:ascii="Arial" w:eastAsia="Arial" w:hAnsi="Arial" w:cs="Arial"/>
                <w:sz w:val="24"/>
                <w:szCs w:val="24"/>
              </w:rPr>
              <w:t>Performance</w:t>
            </w:r>
          </w:p>
        </w:tc>
        <w:tc>
          <w:tcPr>
            <w:tcW w:w="5812" w:type="dxa"/>
            <w:tcBorders>
              <w:top w:val="single" w:sz="5" w:space="0" w:color="000000"/>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 xml:space="preserve">Conformance with KPIs </w:t>
            </w:r>
          </w:p>
        </w:tc>
        <w:tc>
          <w:tcPr>
            <w:tcW w:w="1276" w:type="dxa"/>
            <w:tcBorders>
              <w:top w:val="single" w:sz="5" w:space="0" w:color="000000"/>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Report</w:t>
            </w:r>
          </w:p>
        </w:tc>
        <w:tc>
          <w:tcPr>
            <w:tcW w:w="1559" w:type="dxa"/>
            <w:tcBorders>
              <w:top w:val="single" w:sz="5" w:space="0" w:color="000000"/>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Quarterly</w:t>
            </w:r>
          </w:p>
        </w:tc>
      </w:tr>
      <w:tr w:rsidR="00CA1E7B">
        <w:trPr>
          <w:trHeight w:val="155"/>
        </w:trPr>
        <w:tc>
          <w:tcPr>
            <w:tcW w:w="1838" w:type="dxa"/>
            <w:tcBorders>
              <w:top w:val="nil"/>
              <w:left w:val="single" w:sz="5" w:space="0" w:color="000000"/>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Call-Off Contract Charges</w:t>
            </w:r>
          </w:p>
        </w:tc>
        <w:tc>
          <w:tcPr>
            <w:tcW w:w="5812"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Full report of charges per month, any variations to contract</w:t>
            </w:r>
          </w:p>
        </w:tc>
        <w:tc>
          <w:tcPr>
            <w:tcW w:w="1276"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Report</w:t>
            </w:r>
          </w:p>
        </w:tc>
        <w:tc>
          <w:tcPr>
            <w:tcW w:w="1559"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Monthly</w:t>
            </w:r>
          </w:p>
        </w:tc>
      </w:tr>
      <w:tr w:rsidR="00CA1E7B">
        <w:trPr>
          <w:trHeight w:val="155"/>
        </w:trPr>
        <w:tc>
          <w:tcPr>
            <w:tcW w:w="1838" w:type="dxa"/>
            <w:tcBorders>
              <w:top w:val="nil"/>
              <w:left w:val="single" w:sz="5" w:space="0" w:color="000000"/>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Key Subcontractors</w:t>
            </w:r>
          </w:p>
        </w:tc>
        <w:tc>
          <w:tcPr>
            <w:tcW w:w="5812"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Update on the use of any key contractors and their performance in delivering the contractual terms</w:t>
            </w:r>
          </w:p>
        </w:tc>
        <w:tc>
          <w:tcPr>
            <w:tcW w:w="1276"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Report</w:t>
            </w:r>
          </w:p>
        </w:tc>
        <w:tc>
          <w:tcPr>
            <w:tcW w:w="1559"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Quarterly</w:t>
            </w:r>
          </w:p>
        </w:tc>
      </w:tr>
      <w:tr w:rsidR="00CA1E7B">
        <w:trPr>
          <w:trHeight w:val="155"/>
        </w:trPr>
        <w:tc>
          <w:tcPr>
            <w:tcW w:w="1838" w:type="dxa"/>
            <w:tcBorders>
              <w:top w:val="nil"/>
              <w:left w:val="single" w:sz="5" w:space="0" w:color="000000"/>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Data</w:t>
            </w:r>
          </w:p>
        </w:tc>
        <w:tc>
          <w:tcPr>
            <w:tcW w:w="5812"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 xml:space="preserve">Summary of any data breaches and their resolution </w:t>
            </w:r>
          </w:p>
        </w:tc>
        <w:tc>
          <w:tcPr>
            <w:tcW w:w="1276"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Report</w:t>
            </w:r>
          </w:p>
        </w:tc>
        <w:tc>
          <w:tcPr>
            <w:tcW w:w="1559"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Quarterly</w:t>
            </w:r>
          </w:p>
        </w:tc>
      </w:tr>
      <w:tr w:rsidR="00CA1E7B">
        <w:trPr>
          <w:trHeight w:val="214"/>
        </w:trPr>
        <w:tc>
          <w:tcPr>
            <w:tcW w:w="1838" w:type="dxa"/>
            <w:tcBorders>
              <w:top w:val="nil"/>
              <w:left w:val="single" w:sz="5" w:space="0" w:color="000000"/>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Performance management</w:t>
            </w:r>
          </w:p>
        </w:tc>
        <w:tc>
          <w:tcPr>
            <w:tcW w:w="5812"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Summary of reports above plus discussion of what’s working well, not so well and other areas that need discussion.</w:t>
            </w:r>
          </w:p>
        </w:tc>
        <w:tc>
          <w:tcPr>
            <w:tcW w:w="1276"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Meeting and Report</w:t>
            </w:r>
          </w:p>
        </w:tc>
        <w:tc>
          <w:tcPr>
            <w:tcW w:w="1559" w:type="dxa"/>
            <w:tcBorders>
              <w:top w:val="nil"/>
              <w:left w:val="nil"/>
              <w:bottom w:val="single" w:sz="5" w:space="0" w:color="000000"/>
              <w:right w:val="single" w:sz="5" w:space="0" w:color="000000"/>
            </w:tcBorders>
            <w:tcMar>
              <w:top w:w="0" w:type="dxa"/>
              <w:left w:w="120" w:type="dxa"/>
              <w:bottom w:w="0" w:type="dxa"/>
              <w:right w:w="100" w:type="dxa"/>
            </w:tcMar>
          </w:tcPr>
          <w:p w:rsidR="00CA1E7B" w:rsidRDefault="00854EF4">
            <w:pPr>
              <w:spacing w:before="120" w:after="120"/>
              <w:rPr>
                <w:rFonts w:ascii="Arial" w:eastAsia="Arial" w:hAnsi="Arial" w:cs="Arial"/>
                <w:sz w:val="24"/>
                <w:szCs w:val="24"/>
              </w:rPr>
            </w:pPr>
            <w:r>
              <w:rPr>
                <w:rFonts w:ascii="Arial" w:eastAsia="Arial" w:hAnsi="Arial" w:cs="Arial"/>
                <w:sz w:val="24"/>
                <w:szCs w:val="24"/>
              </w:rPr>
              <w:t>Quarterly</w:t>
            </w:r>
          </w:p>
        </w:tc>
      </w:tr>
    </w:tbl>
    <w:p w:rsidR="00CA1E7B" w:rsidRDefault="00CA1E7B">
      <w:pPr>
        <w:tabs>
          <w:tab w:val="left" w:pos="1251"/>
        </w:tabs>
        <w:spacing w:before="120" w:after="120" w:line="240" w:lineRule="auto"/>
        <w:rPr>
          <w:rFonts w:ascii="Arial" w:eastAsia="Arial" w:hAnsi="Arial" w:cs="Arial"/>
          <w:sz w:val="24"/>
          <w:szCs w:val="24"/>
        </w:rPr>
      </w:pPr>
      <w:bookmarkStart w:id="2" w:name="bookmark=id.gjdgxs" w:colFirst="0" w:colLast="0"/>
      <w:bookmarkEnd w:id="2"/>
    </w:p>
    <w:sectPr w:rsidR="00CA1E7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EF4" w:rsidRDefault="00854EF4">
      <w:pPr>
        <w:spacing w:after="0" w:line="240" w:lineRule="auto"/>
      </w:pPr>
      <w:r>
        <w:separator/>
      </w:r>
    </w:p>
  </w:endnote>
  <w:endnote w:type="continuationSeparator" w:id="0">
    <w:p w:rsidR="00854EF4" w:rsidRDefault="00854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7B" w:rsidRDefault="00CA1E7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7B" w:rsidRDefault="00CA1E7B">
    <w:pPr>
      <w:tabs>
        <w:tab w:val="center" w:pos="4513"/>
        <w:tab w:val="right" w:pos="9026"/>
      </w:tabs>
      <w:spacing w:after="0"/>
      <w:rPr>
        <w:rFonts w:ascii="Arial" w:eastAsia="Arial" w:hAnsi="Arial" w:cs="Arial"/>
        <w:color w:val="A6A6A6"/>
        <w:sz w:val="20"/>
        <w:szCs w:val="20"/>
      </w:rPr>
    </w:pPr>
  </w:p>
  <w:p w:rsidR="00CA1E7B" w:rsidRDefault="00854E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3" w:name="_heading=h.30j0zll" w:colFirst="0" w:colLast="0"/>
    <w:bookmarkEnd w:id="3"/>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82DD3">
      <w:rPr>
        <w:rFonts w:ascii="Arial" w:eastAsia="Arial" w:hAnsi="Arial" w:cs="Arial"/>
        <w:color w:val="000000"/>
        <w:sz w:val="20"/>
        <w:szCs w:val="20"/>
      </w:rPr>
      <w:fldChar w:fldCharType="separate"/>
    </w:r>
    <w:r w:rsidR="00282DD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A1E7B" w:rsidRDefault="00854EF4">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7B" w:rsidRDefault="00CA1E7B">
    <w:pPr>
      <w:tabs>
        <w:tab w:val="center" w:pos="4513"/>
        <w:tab w:val="right" w:pos="9026"/>
      </w:tabs>
      <w:spacing w:after="0"/>
      <w:rPr>
        <w:rFonts w:ascii="Arial" w:eastAsia="Arial" w:hAnsi="Arial" w:cs="Arial"/>
        <w:color w:val="A6A6A6"/>
        <w:sz w:val="20"/>
        <w:szCs w:val="20"/>
      </w:rPr>
    </w:pPr>
  </w:p>
  <w:p w:rsidR="00CA1E7B" w:rsidRDefault="00854EF4">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A1E7B" w:rsidRDefault="00854EF4">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EF4" w:rsidRDefault="00854EF4">
      <w:pPr>
        <w:spacing w:after="0" w:line="240" w:lineRule="auto"/>
      </w:pPr>
      <w:r>
        <w:separator/>
      </w:r>
    </w:p>
  </w:footnote>
  <w:footnote w:type="continuationSeparator" w:id="0">
    <w:p w:rsidR="00854EF4" w:rsidRDefault="00854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7B" w:rsidRDefault="00CA1E7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b/>
        <w:color w:val="000000"/>
      </w:rPr>
      <w:t>Call-Off Schedule 1 (Transparency Reports)</w:t>
    </w:r>
  </w:p>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4"/>
        <w:szCs w:val="24"/>
      </w:rPr>
    </w:pPr>
    <w:r>
      <w:rPr>
        <w:rFonts w:ascii="Arial" w:eastAsia="Arial" w:hAnsi="Arial" w:cs="Arial"/>
        <w:color w:val="000000"/>
      </w:rPr>
      <w:t>Call-Off Ref: CCLL23A10</w:t>
    </w:r>
  </w:p>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w:t>
    </w:r>
    <w:r>
      <w:rPr>
        <w:rFonts w:ascii="Arial" w:eastAsia="Arial" w:hAnsi="Arial" w:cs="Arial"/>
        <w:color w:val="000000"/>
        <w:sz w:val="16"/>
        <w:szCs w:val="16"/>
      </w:rPr>
      <w:t xml:space="preserve"> </w:t>
    </w:r>
    <w:r>
      <w:rPr>
        <w:rFonts w:ascii="Arial" w:eastAsia="Arial" w:hAnsi="Arial" w:cs="Arial"/>
        <w:color w:val="000000"/>
      </w:rPr>
      <w:t>2018</w:t>
    </w:r>
  </w:p>
  <w:p w:rsidR="00CA1E7B" w:rsidRDefault="00CA1E7B">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A1E7B" w:rsidRDefault="00854E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A1E7B" w:rsidRDefault="00CA1E7B">
    <w:pPr>
      <w:pBdr>
        <w:top w:val="nil"/>
        <w:left w:val="nil"/>
        <w:bottom w:val="nil"/>
        <w:right w:val="nil"/>
        <w:between w:val="nil"/>
      </w:pBdr>
      <w:tabs>
        <w:tab w:val="center" w:pos="4513"/>
        <w:tab w:val="right" w:pos="9026"/>
      </w:tabs>
      <w:spacing w:after="0" w:line="240" w:lineRule="auto"/>
      <w:rPr>
        <w:i/>
        <w:color w:val="000000"/>
      </w:rPr>
    </w:pPr>
  </w:p>
  <w:p w:rsidR="00CA1E7B" w:rsidRDefault="00CA1E7B">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E7B"/>
    <w:rsid w:val="00282DD3"/>
    <w:rsid w:val="00854EF4"/>
    <w:rsid w:val="00CA1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16EB6B-7BCA-4E9B-AEC8-AB64211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15" w:type="dxa"/>
        <w:right w:w="115" w:type="dxa"/>
      </w:tblCellMar>
    </w:tblPr>
  </w:style>
  <w:style w:type="table" w:customStyle="1" w:styleId="a0">
    <w:name w:val="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PtDB79n7pY4e2fZdwg+pSaAXyQ==">CgMxLjAyCWguMWZvYjl0ZTIJaWQuZ2pkZ3hzMgloLjMwajB6bGw4AGo/CjVzdWdnZXN0SWRJbXBvcnRlNTRjNjFjNS0wMTVhLTQ0ZGEtOTI3Mi05OTM2MTg0MjRhNzNfMhIGQXV0aG9yaj8KNXN1Z2dlc3RJZEltcG9ydGU1NGM2MWM1LTAxNWEtNDRkYS05MjcyLTk5MzYxODQyNGE3M18zEgZBdXRob3JqPwo1c3VnZ2VzdElkSW1wb3J0ZTU0YzYxYzUtMDE1YS00NGRhLTkyNzItOTkzNjE4NDI0YTczXzESBkF1dGhvcmo/CjVzdWdnZXN0SWRJbXBvcnRlNTRjNjFjNS0wMTVhLTQ0ZGEtOTI3Mi05OTM2MTg0MjRhNzNfNBIGQXV0aG9yciExNEtEQzRsNHI0REdZaktNS201bV8yMllWTURQRzA4ck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Jackson</dc:creator>
  <cp:lastModifiedBy>Harry Jackson</cp:lastModifiedBy>
  <cp:revision>2</cp:revision>
  <dcterms:created xsi:type="dcterms:W3CDTF">2023-12-05T15:17:00Z</dcterms:created>
  <dcterms:modified xsi:type="dcterms:W3CDTF">2023-12-05T15:17:00Z</dcterms:modified>
</cp:coreProperties>
</file>